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10095" w:type="dxa"/>
        <w:tblLook w:val="04A0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/>
        </w:trPr>
        <w:tc>
          <w:tcPr>
            <w:cnfStyle w:val="001000000000"/>
            <w:tcW w:w="6315" w:type="dxa"/>
            <w:gridSpan w:val="3"/>
            <w:hideMark/>
          </w:tcPr>
          <w:p w:rsidR="00264BBB" w:rsidRDefault="00264BBB" w:rsidP="00632100">
            <w:pP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</w:pPr>
            <w:r w:rsidRPr="00E30E2C">
              <w:rPr>
                <w:rFonts w:asciiTheme="majorHAnsi" w:hAnsiTheme="majorHAnsi" w:cs="Times New Roman"/>
                <w:sz w:val="28"/>
              </w:rPr>
              <w:t>Mr. Sachin Jambukumar Sajane</w:t>
            </w:r>
            <w:r w:rsidRPr="006E7F91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 </w:t>
            </w:r>
          </w:p>
          <w:p w:rsidR="00632100" w:rsidRPr="006E7F91" w:rsidRDefault="005879AF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Assistant Professor &amp; </w:t>
            </w:r>
            <w:r w:rsidR="00264BBB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Vice – </w:t>
            </w:r>
            <w:r w:rsidR="00632100" w:rsidRPr="006E7F91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Principal</w:t>
            </w:r>
            <w:r w:rsidR="00264BBB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 (Admin</w:t>
            </w: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istration</w:t>
            </w:r>
            <w:r w:rsidR="00264BBB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)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264BBB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Near Old Airport, </w:t>
            </w:r>
          </w:p>
          <w:p w:rsidR="00632100" w:rsidRPr="006E7F91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Pharmacy, Ashta</w:t>
            </w:r>
          </w:p>
          <w:p w:rsidR="00632100" w:rsidRPr="006E7F91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264BBB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02342-241125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Fax: </w:t>
            </w:r>
            <w:r w:rsidR="00264BBB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--</w:t>
            </w:r>
            <w:r w:rsidR="005879AF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          Cell No. </w:t>
            </w:r>
            <w:r w:rsidR="00264BBB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9158008167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:rsidR="00097C22" w:rsidRPr="006E7F91" w:rsidRDefault="00632100" w:rsidP="00264BB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r w:rsidR="003C0826">
              <w:rPr>
                <w:rFonts w:ascii="Arial Narrow" w:hAnsi="Arial Narrow" w:cs="Calibri,Bold"/>
                <w:b w:val="0"/>
                <w:sz w:val="20"/>
                <w:szCs w:val="20"/>
              </w:rPr>
              <w:t>s</w:t>
            </w:r>
            <w:r w:rsidR="00264BBB">
              <w:rPr>
                <w:rFonts w:ascii="Arial Narrow" w:hAnsi="Arial Narrow" w:cs="Calibri,Bold"/>
                <w:b w:val="0"/>
                <w:sz w:val="20"/>
                <w:szCs w:val="20"/>
              </w:rPr>
              <w:t>ajane.sachinadcbp@gmail.com</w:t>
            </w: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BF2728" w:rsidP="00632100">
            <w:pPr>
              <w:cnfStyle w:val="1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8.25pt;margin-top:6pt;width:109pt;height:110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68068A">
                        <w:pPr>
                          <w:cnfStyle w:val="100000000000"/>
                        </w:pPr>
                        <w:r>
                          <w:rPr>
                            <w:noProof/>
                            <w:lang w:bidi="mr-IN"/>
                          </w:rPr>
                          <w:drawing>
                            <wp:inline distT="0" distB="0" distL="0" distR="0">
                              <wp:extent cx="1051560" cy="1143000"/>
                              <wp:effectExtent l="57150" t="19050" r="110490" b="76200"/>
                              <wp:docPr id="10" name="Picture 10" descr="E:\SJS\157604629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E:\SJS\157604629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1560" cy="1143000"/>
                                      </a:xfrm>
                                      <a:prstGeom prst="rect">
                                        <a:avLst/>
                                      </a:prstGeom>
                                      <a:ln w="127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</w:t>
            </w:r>
            <w:r w:rsidR="006F33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Pharm. (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2009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 Birnale College of Pharmacy, Sangli</w:t>
            </w:r>
          </w:p>
          <w:p w:rsidR="00632100" w:rsidRPr="006E7F91" w:rsidRDefault="00632100" w:rsidP="00264BB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2007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 Birnale College of Pharmacy, Sangli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Pr="006E7F91" w:rsidRDefault="00264BBB" w:rsidP="00264BB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June 2016</w:t>
            </w:r>
            <w:r w:rsidR="0086448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 Professor</w:t>
            </w:r>
            <w:r w:rsidR="0086448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896F1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June 2019 to till date: Vice – Principal (Admin)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Annasaheb Dange College B Pharmacy, Ashta</w:t>
            </w:r>
          </w:p>
        </w:tc>
      </w:tr>
      <w:tr w:rsidR="00516DC5" w:rsidRPr="006E7F91" w:rsidTr="00AE6D18">
        <w:trPr>
          <w:cnfStyle w:val="000000100000"/>
        </w:trPr>
        <w:tc>
          <w:tcPr>
            <w:cnfStyle w:val="00100000000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/>
            <w:tcW w:w="2523" w:type="dxa"/>
            <w:hideMark/>
          </w:tcPr>
          <w:p w:rsidR="00516DC5" w:rsidRPr="00655B0C" w:rsidRDefault="006F33EB" w:rsidP="005879A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</w:t>
            </w:r>
            <w:r w:rsidR="005879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2.10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264BBB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--</w:t>
            </w:r>
          </w:p>
        </w:tc>
        <w:tc>
          <w:tcPr>
            <w:tcW w:w="2524" w:type="dxa"/>
            <w:gridSpan w:val="2"/>
          </w:tcPr>
          <w:p w:rsidR="00516DC5" w:rsidRPr="00655B0C" w:rsidRDefault="00264BBB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--</w:t>
            </w:r>
          </w:p>
        </w:tc>
        <w:tc>
          <w:tcPr>
            <w:tcW w:w="2524" w:type="dxa"/>
          </w:tcPr>
          <w:p w:rsidR="00516DC5" w:rsidRPr="00655B0C" w:rsidRDefault="005879AF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12.10</w:t>
            </w:r>
            <w:r w:rsidR="00264BB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264BB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Association of Pharmaceutical Teachers of India (MA/LM-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1672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Registered Pharmacist (Registration No.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107792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Pharmacology, Human Anatomy &amp; Physiology, Pathophysiology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                  :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PG-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Herbal Drug Technology, Advanced Pharmacognosy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264BB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Screening of herbal plants for Antidiabetic activities; Resealed erythrocytes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 </w:t>
            </w:r>
          </w:p>
        </w:tc>
      </w:tr>
      <w:tr w:rsidR="00632100" w:rsidRPr="006E7F91" w:rsidTr="001025A3">
        <w:tc>
          <w:tcPr>
            <w:cnfStyle w:val="001000000000"/>
            <w:tcW w:w="6315" w:type="dxa"/>
            <w:gridSpan w:val="3"/>
            <w:hideMark/>
          </w:tcPr>
          <w:p w:rsidR="00632100" w:rsidRPr="006E7F91" w:rsidRDefault="00632100" w:rsidP="00264BB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--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632100" w:rsidP="00264BBB">
            <w:pPr>
              <w:cnfStyle w:val="0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Rs. </w:t>
            </w:r>
            <w:r w:rsidR="00264BBB">
              <w:rPr>
                <w:rFonts w:ascii="Arial Narrow" w:eastAsia="Times New Roman" w:hAnsi="Arial Narrow" w:cs="Tahoma"/>
                <w:sz w:val="20"/>
                <w:szCs w:val="20"/>
              </w:rPr>
              <w:t>--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6315" w:type="dxa"/>
            <w:gridSpan w:val="3"/>
            <w:hideMark/>
          </w:tcPr>
          <w:p w:rsidR="00632100" w:rsidRPr="006E7F91" w:rsidRDefault="00632100" w:rsidP="00264BB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06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264BBB">
            <w:pPr>
              <w:cnfStyle w:val="0000001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264BBB">
              <w:rPr>
                <w:rFonts w:ascii="Arial Narrow" w:eastAsia="Times New Roman" w:hAnsi="Arial Narrow" w:cs="Tahoma"/>
                <w:sz w:val="20"/>
                <w:szCs w:val="20"/>
              </w:rPr>
              <w:t>--</w:t>
            </w:r>
          </w:p>
        </w:tc>
      </w:tr>
      <w:tr w:rsidR="00632100" w:rsidRPr="006E7F91" w:rsidTr="001025A3">
        <w:trPr>
          <w:trHeight w:val="4786"/>
        </w:trPr>
        <w:tc>
          <w:tcPr>
            <w:cnfStyle w:val="001000000000"/>
            <w:tcW w:w="10095" w:type="dxa"/>
            <w:gridSpan w:val="5"/>
            <w:hideMark/>
          </w:tcPr>
          <w:p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264BB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--</w:t>
            </w:r>
          </w:p>
          <w:p w:rsidR="00632100" w:rsidRPr="006E7F91" w:rsidRDefault="00065946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:rsidR="00B54702" w:rsidRPr="00B54702" w:rsidRDefault="00B54702" w:rsidP="00B54702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left="540" w:hanging="5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Evaluation of CNS stimulating activity of hydroalcoholic extract of Brassica</w:t>
            </w:r>
            <w:r w:rsidRPr="00B54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oleracea L.var. italica in laboratory animals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. 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G. V. Sutar, S. J. Sajane, S. T. Taralekar, Prakash I. Nargatti</w:t>
            </w:r>
            <w:r w:rsidRPr="00B54702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 xml:space="preserve"> and A. A. Jadha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; Annals of Phytomedicine 10 (2)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2021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; Page No: 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163-168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</w:t>
            </w:r>
          </w:p>
          <w:p w:rsidR="00B54702" w:rsidRDefault="00B54702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B54702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Formulation and In Vitro, In Vivo Evaluation of Proniosomal gel of neomycin sulphate; Amol Shete, Priyanka Thorat, Raje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ndra Doijad, </w:t>
            </w:r>
            <w:r w:rsidRPr="00B54702">
              <w:rPr>
                <w:rFonts w:ascii="Arial Narrow" w:hAnsi="Arial Narrow"/>
                <w:sz w:val="20"/>
                <w:szCs w:val="20"/>
              </w:rPr>
              <w:t>Sachin Sajane</w:t>
            </w:r>
            <w:r w:rsidRPr="00B5470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; International Journal of Applied Pharmaceutics; Vol 11, Issue 2, 2019; Page No: 156-163.</w:t>
            </w:r>
          </w:p>
          <w:p w:rsidR="00264BBB" w:rsidRPr="00E31E3C" w:rsidRDefault="00264BBB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Studies on effect of hydrophilic polymers on physicochemical properties of itraconazole cocrystals; Amol Shete, Srinivasa Murthy, Bhagyashri Thorat, Adhikrao Yadav, </w:t>
            </w:r>
            <w:r w:rsidRPr="00E31E3C">
              <w:rPr>
                <w:rFonts w:ascii="Arial Narrow" w:hAnsi="Arial Narrow"/>
                <w:sz w:val="20"/>
                <w:szCs w:val="20"/>
              </w:rPr>
              <w:t>Sachin Sajane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Sfurti Sakhare, Rajendra Doijad; Future Journal of Pharmaceutical Sciences; 3 (2) (2017) Page No: 95 – 102.</w:t>
            </w:r>
          </w:p>
          <w:p w:rsidR="00264BBB" w:rsidRPr="00E31E3C" w:rsidRDefault="00264BBB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Studies on Rebamipide Loaded Gastroretentive Alginate Based Mucoadhesive Beads: Formulation &amp; In-vitro, In-vivo Evaluation; </w:t>
            </w:r>
            <w:r w:rsidRPr="00E31E3C">
              <w:rPr>
                <w:rFonts w:ascii="Arial Narrow" w:hAnsi="Arial Narrow"/>
                <w:sz w:val="20"/>
                <w:szCs w:val="20"/>
              </w:rPr>
              <w:t>Sachin Sajane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Pooja Kashid, Rajendra Doijad, Amol Shete, Abhimanyu Bhagat; Pharm Methods; 7 (2) 2016, Page No 132-138.</w:t>
            </w:r>
          </w:p>
          <w:p w:rsidR="00264BBB" w:rsidRPr="00E31E3C" w:rsidRDefault="00264BBB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Cocrystals of Itraconazole with amino acids: Screening, Synthesis, Solid State Characterization, invitro drug release &amp; antifungal activity; </w:t>
            </w:r>
            <w:hyperlink r:id="rId8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Amol Shete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9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Srinivasa Murthy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0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Snehal Korpale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1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Adhikrao Yadav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2" w:history="1">
              <w:r w:rsidRPr="00E31E3C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Sachin Sajane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3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Sfurti Sakhare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4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Rajendra Doijad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; Journal of Drug Delivery Science and Technology; </w:t>
            </w:r>
            <w:hyperlink r:id="rId15" w:tooltip="Go to table of contents for this volume/issue" w:history="1">
              <w:r w:rsidRPr="00E31E3C">
                <w:rPr>
                  <w:rStyle w:val="Hyperlink"/>
                  <w:rFonts w:ascii="Arial Narrow" w:hAnsi="Arial Narrow"/>
                  <w:b w:val="0"/>
                  <w:bCs w:val="0"/>
                  <w:color w:val="auto"/>
                  <w:sz w:val="20"/>
                  <w:szCs w:val="20"/>
                  <w:u w:val="none"/>
                </w:rPr>
                <w:t>Volume 28</w:t>
              </w:r>
            </w:hyperlink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August 2015, Page No: 46–55; Impact Factor: 0.734. </w:t>
            </w:r>
          </w:p>
          <w:p w:rsidR="00264BBB" w:rsidRPr="00E31E3C" w:rsidRDefault="00264BBB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Enhancement of Solubility and dissolution rate of Indomethacin by Chitosan based Solid Dispersion Technique; A S Shete, V B Yadav, S S Sakhare, S B Patil, </w:t>
            </w:r>
            <w:r w:rsidRPr="00E31E3C">
              <w:rPr>
                <w:rFonts w:ascii="Arial Narrow" w:hAnsi="Arial Narrow"/>
                <w:sz w:val="20"/>
                <w:szCs w:val="20"/>
              </w:rPr>
              <w:t>S J Sajane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A V Yadav; Journal of Current Pharma Research; 5 (2), 2015:1463-1472.</w:t>
            </w:r>
          </w:p>
          <w:p w:rsidR="00264BBB" w:rsidRPr="00E31E3C" w:rsidRDefault="00264BBB" w:rsidP="00264BB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Microbial triggered colon targeted compression coated tablets of tenoxicam: formulation and evaluation; </w:t>
            </w:r>
            <w:r w:rsidRPr="00E31E3C">
              <w:rPr>
                <w:rFonts w:ascii="Arial Narrow" w:hAnsi="Arial Narrow"/>
                <w:sz w:val="20"/>
                <w:szCs w:val="20"/>
              </w:rPr>
              <w:t>Sajane Sachin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Vagare Rupali, Doijad Rajendra, Shete Amol, Jagtap Rajesh, Mohite Poonam. Journal of Drug Delivery and Therapeutics; 2015; 5(1), Page No: 75-81. </w:t>
            </w:r>
          </w:p>
          <w:p w:rsidR="00632100" w:rsidRPr="00E31E3C" w:rsidRDefault="00264BBB" w:rsidP="00E31E3C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200" w:line="360" w:lineRule="auto"/>
              <w:ind w:left="540" w:hanging="54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Evaluation of antihyperglycemic activity of extracts of </w:t>
            </w:r>
            <w:r w:rsidRPr="00E31E3C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Malvastrumcoromandelianum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(L.) Garke leaves in animal models. </w:t>
            </w:r>
            <w:r w:rsidRPr="00E31E3C">
              <w:rPr>
                <w:rFonts w:ascii="Arial Narrow" w:hAnsi="Arial Narrow"/>
                <w:sz w:val="20"/>
                <w:szCs w:val="20"/>
              </w:rPr>
              <w:t>Sajane S.J</w:t>
            </w:r>
            <w:r w:rsidRPr="00E31E3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., Naikwade N.S., Inventi Rapid: Ethnopharmacology. Oct-Dec 2010, Vol-1, Issue-3.</w:t>
            </w:r>
          </w:p>
        </w:tc>
      </w:tr>
    </w:tbl>
    <w:p w:rsidR="001F1723" w:rsidRPr="006E7F91" w:rsidRDefault="001F1723" w:rsidP="00957E87">
      <w:pPr>
        <w:rPr>
          <w:rFonts w:ascii="Arial Narrow" w:hAnsi="Arial Narrow"/>
          <w:sz w:val="20"/>
          <w:szCs w:val="20"/>
        </w:rPr>
      </w:pPr>
    </w:p>
    <w:sectPr w:rsidR="001F1723" w:rsidRPr="006E7F91" w:rsidSect="00957E87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1D" w:rsidRDefault="0062121D" w:rsidP="00632100">
      <w:pPr>
        <w:spacing w:after="0" w:line="240" w:lineRule="auto"/>
      </w:pPr>
      <w:r>
        <w:separator/>
      </w:r>
    </w:p>
  </w:endnote>
  <w:endnote w:type="continuationSeparator" w:id="1">
    <w:p w:rsidR="0062121D" w:rsidRDefault="0062121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1D" w:rsidRDefault="0062121D" w:rsidP="00632100">
      <w:pPr>
        <w:spacing w:after="0" w:line="240" w:lineRule="auto"/>
      </w:pPr>
      <w:r>
        <w:separator/>
      </w:r>
    </w:p>
  </w:footnote>
  <w:footnote w:type="continuationSeparator" w:id="1">
    <w:p w:rsidR="0062121D" w:rsidRDefault="0062121D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numPicBullet w:numPicBulletId="6">
    <w:pict>
      <v:shape id="_x0000_i1113" type="#_x0000_t75" style="width:3in;height:3in" o:bullet="t"/>
    </w:pict>
  </w:numPicBullet>
  <w:numPicBullet w:numPicBulletId="7">
    <w:pict>
      <v:shape id="_x0000_i1114" type="#_x0000_t75" style="width:3in;height:3in" o:bullet="t"/>
    </w:pict>
  </w:numPicBullet>
  <w:numPicBullet w:numPicBulletId="8">
    <w:pict>
      <v:shape id="_x0000_i1115" type="#_x0000_t75" style="width:3in;height:3in" o:bullet="t"/>
    </w:pict>
  </w:numPicBullet>
  <w:abstractNum w:abstractNumId="0">
    <w:nsid w:val="25E27A64"/>
    <w:multiLevelType w:val="hybridMultilevel"/>
    <w:tmpl w:val="04129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00"/>
    <w:rsid w:val="00065946"/>
    <w:rsid w:val="00097C22"/>
    <w:rsid w:val="001025A3"/>
    <w:rsid w:val="0017147B"/>
    <w:rsid w:val="001A724F"/>
    <w:rsid w:val="001F0B41"/>
    <w:rsid w:val="001F1723"/>
    <w:rsid w:val="001F5F87"/>
    <w:rsid w:val="00251347"/>
    <w:rsid w:val="00264BBB"/>
    <w:rsid w:val="00285CC3"/>
    <w:rsid w:val="003C0826"/>
    <w:rsid w:val="00403919"/>
    <w:rsid w:val="004877B5"/>
    <w:rsid w:val="00516DC5"/>
    <w:rsid w:val="00530DD7"/>
    <w:rsid w:val="005802BD"/>
    <w:rsid w:val="005879AF"/>
    <w:rsid w:val="0062121D"/>
    <w:rsid w:val="00632100"/>
    <w:rsid w:val="00655B0C"/>
    <w:rsid w:val="0068068A"/>
    <w:rsid w:val="006E7F91"/>
    <w:rsid w:val="006F25CF"/>
    <w:rsid w:val="006F33EB"/>
    <w:rsid w:val="00731C5D"/>
    <w:rsid w:val="00771C34"/>
    <w:rsid w:val="00792339"/>
    <w:rsid w:val="0082352F"/>
    <w:rsid w:val="00836B1E"/>
    <w:rsid w:val="00864480"/>
    <w:rsid w:val="008967C9"/>
    <w:rsid w:val="00896F15"/>
    <w:rsid w:val="009328C2"/>
    <w:rsid w:val="00957E87"/>
    <w:rsid w:val="0098725C"/>
    <w:rsid w:val="00AA2241"/>
    <w:rsid w:val="00AF03C7"/>
    <w:rsid w:val="00B54702"/>
    <w:rsid w:val="00B64688"/>
    <w:rsid w:val="00BB4BBB"/>
    <w:rsid w:val="00BB7D6E"/>
    <w:rsid w:val="00BF2728"/>
    <w:rsid w:val="00C16346"/>
    <w:rsid w:val="00E31E3C"/>
    <w:rsid w:val="00E46095"/>
    <w:rsid w:val="00EF7B15"/>
    <w:rsid w:val="00F669A2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773224715000787" TargetMode="External"/><Relationship Id="rId13" Type="http://schemas.openxmlformats.org/officeDocument/2006/relationships/hyperlink" Target="http://www.sciencedirect.com/science/article/pii/S17732247150007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iencedirect.com/science/article/pii/S17732247150007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17732247150007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journal/17732247/28/supp/C" TargetMode="External"/><Relationship Id="rId10" Type="http://schemas.openxmlformats.org/officeDocument/2006/relationships/hyperlink" Target="http://www.sciencedirect.com/science/article/pii/S177322471500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773224715000787" TargetMode="External"/><Relationship Id="rId14" Type="http://schemas.openxmlformats.org/officeDocument/2006/relationships/hyperlink" Target="http://www.sciencedirect.com/science/article/pii/S177322471500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Dell</cp:lastModifiedBy>
  <cp:revision>14</cp:revision>
  <dcterms:created xsi:type="dcterms:W3CDTF">2017-09-01T05:34:00Z</dcterms:created>
  <dcterms:modified xsi:type="dcterms:W3CDTF">2022-05-30T08:35:00Z</dcterms:modified>
</cp:coreProperties>
</file>